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D2DE9" w14:textId="77777777" w:rsidR="000464BB" w:rsidRDefault="000464BB" w:rsidP="003060D2">
      <w:pPr>
        <w:pStyle w:val="a9"/>
        <w:ind w:firstLine="720"/>
        <w:rPr>
          <w:lang w:eastAsia="zh-CN"/>
        </w:rPr>
      </w:pPr>
    </w:p>
    <w:p w14:paraId="24ED2E0C" w14:textId="666DCFFB" w:rsidR="000464BB" w:rsidRPr="00292450" w:rsidRDefault="00820ADC" w:rsidP="00820ADC">
      <w:pPr>
        <w:ind w:firstLineChars="0" w:firstLine="0"/>
        <w:rPr>
          <w:rFonts w:eastAsia="Times New Roman"/>
          <w:lang w:eastAsia="zh-CN"/>
        </w:rPr>
      </w:pPr>
      <w:r>
        <w:rPr>
          <w:rFonts w:hint="eastAsia"/>
          <w:lang w:eastAsia="zh-CN"/>
        </w:rPr>
        <w:t>附件</w:t>
      </w:r>
      <w:r w:rsidR="00092E2C" w:rsidRPr="00820ADC">
        <w:rPr>
          <w:rFonts w:hint="eastAsia"/>
          <w:lang w:eastAsia="zh-CN"/>
        </w:rPr>
        <w:t>：</w:t>
      </w:r>
    </w:p>
    <w:p w14:paraId="24ED2E0E" w14:textId="2E147061" w:rsidR="000464BB" w:rsidRPr="00092E2C" w:rsidRDefault="00FD1C26" w:rsidP="00092E2C">
      <w:pPr>
        <w:pStyle w:val="a9"/>
        <w:rPr>
          <w:lang w:eastAsia="zh-CN"/>
        </w:rPr>
      </w:pPr>
      <w:r>
        <w:rPr>
          <w:rFonts w:ascii="Arial" w:eastAsia="Arial"/>
          <w:sz w:val="38"/>
          <w:lang w:eastAsia="zh-CN"/>
        </w:rPr>
        <w:t>2022</w:t>
      </w:r>
      <w:r>
        <w:rPr>
          <w:lang w:eastAsia="zh-CN"/>
        </w:rPr>
        <w:t>年煤炭中长期合同签订履约工作方案</w:t>
      </w:r>
    </w:p>
    <w:p w14:paraId="557CE576" w14:textId="77777777" w:rsidR="00092E2C" w:rsidRDefault="00092E2C" w:rsidP="00092E2C">
      <w:pPr>
        <w:ind w:firstLine="735"/>
        <w:rPr>
          <w:w w:val="115"/>
          <w:lang w:eastAsia="zh-CN"/>
        </w:rPr>
      </w:pPr>
    </w:p>
    <w:p w14:paraId="24ED2E0F" w14:textId="40FA6F95" w:rsidR="000464BB" w:rsidRPr="00292450" w:rsidRDefault="00FD1C26" w:rsidP="00292450">
      <w:pPr>
        <w:ind w:firstLine="640"/>
        <w:rPr>
          <w:lang w:eastAsia="zh-CN"/>
        </w:rPr>
      </w:pPr>
      <w:r w:rsidRPr="00292450">
        <w:rPr>
          <w:lang w:eastAsia="zh-CN"/>
        </w:rPr>
        <w:t>为贯彻落实党中央</w:t>
      </w:r>
      <w:r w:rsidR="00292450" w:rsidRPr="00292450">
        <w:rPr>
          <w:rFonts w:hint="eastAsia"/>
          <w:lang w:eastAsia="zh-CN"/>
        </w:rPr>
        <w:t>、</w:t>
      </w:r>
      <w:r w:rsidRPr="00292450">
        <w:rPr>
          <w:lang w:eastAsia="zh-CN"/>
        </w:rPr>
        <w:t>国务院决策部署</w:t>
      </w:r>
      <w:r w:rsidR="00292450" w:rsidRPr="00292450">
        <w:rPr>
          <w:rFonts w:hint="eastAsia"/>
          <w:lang w:eastAsia="zh-CN"/>
        </w:rPr>
        <w:t>，</w:t>
      </w:r>
      <w:r w:rsidRPr="00292450">
        <w:rPr>
          <w:lang w:eastAsia="zh-CN"/>
        </w:rPr>
        <w:t>深入推进煤炭产供储销体系建设，进一步完善煤炭中长期合同制度，做好</w:t>
      </w:r>
      <w:r w:rsidRPr="00292450">
        <w:rPr>
          <w:lang w:eastAsia="zh-CN"/>
        </w:rPr>
        <w:t>2022</w:t>
      </w:r>
      <w:r w:rsidRPr="00292450">
        <w:rPr>
          <w:lang w:eastAsia="zh-CN"/>
        </w:rPr>
        <w:t>年煤炭中长期合同签订履约工作，保障全国煤炭稳定可靠供应，制定本工作方案。</w:t>
      </w:r>
    </w:p>
    <w:p w14:paraId="24ED2E11" w14:textId="3C744F74" w:rsidR="000464BB" w:rsidRPr="00092E2C" w:rsidRDefault="00FD1C26" w:rsidP="00092E2C">
      <w:pPr>
        <w:pStyle w:val="1"/>
        <w:ind w:firstLine="700"/>
        <w:rPr>
          <w:lang w:eastAsia="zh-CN"/>
        </w:rPr>
      </w:pPr>
      <w:r>
        <w:rPr>
          <w:w w:val="110"/>
          <w:lang w:eastAsia="zh-CN"/>
        </w:rPr>
        <w:t>一、煤炭中长期合同的性质与作用</w:t>
      </w:r>
    </w:p>
    <w:p w14:paraId="24ED2E12" w14:textId="77777777" w:rsidR="000464BB" w:rsidRPr="00092E2C" w:rsidRDefault="00FD1C26" w:rsidP="00092E2C">
      <w:pPr>
        <w:ind w:firstLine="640"/>
        <w:rPr>
          <w:lang w:eastAsia="zh-CN"/>
        </w:rPr>
      </w:pPr>
      <w:r w:rsidRPr="00092E2C">
        <w:rPr>
          <w:lang w:eastAsia="zh-CN"/>
        </w:rPr>
        <w:t>煤炭中长期合同是以煤炭供需双方按照市场化机制自主协商为基础、运输企业和信用服务机构等多方参与签订，接受政府指导和监管</w:t>
      </w:r>
      <w:r>
        <w:rPr>
          <w:w w:val="115"/>
          <w:lang w:eastAsia="zh-CN"/>
        </w:rPr>
        <w:t>，</w:t>
      </w:r>
      <w:r w:rsidRPr="00092E2C">
        <w:rPr>
          <w:lang w:eastAsia="zh-CN"/>
        </w:rPr>
        <w:t>统筹上下游企业利益和社会利益，合同期限较长，数量和履约进度明晰，价格机制和运输方式明确的煤炭购销合同。</w:t>
      </w:r>
    </w:p>
    <w:p w14:paraId="24ED2E13" w14:textId="668FAB2A" w:rsidR="000464BB" w:rsidRPr="00092E2C" w:rsidRDefault="00FD1C26" w:rsidP="00092E2C">
      <w:pPr>
        <w:ind w:firstLine="640"/>
        <w:rPr>
          <w:lang w:eastAsia="zh-CN"/>
        </w:rPr>
      </w:pPr>
      <w:r w:rsidRPr="00092E2C">
        <w:rPr>
          <w:lang w:eastAsia="zh-CN"/>
        </w:rPr>
        <w:t>通过签订履行煤炭中长期合同，形成产运需稳定合作长效机制，有利于上下游企业合理安排生产计划、优化运力配置，实现平稳有序运行；有利于稳定市场预期，减少煤炭价格波动，推动上下游行业持续健康发展；有利于降低用煤企业和社会用能成本，提高经济社会效益；有利于保持煤炭稳定可靠供应，促进煤炭市场供需平衡，保障国家能源安全。</w:t>
      </w:r>
    </w:p>
    <w:p w14:paraId="24ED2E14" w14:textId="77777777" w:rsidR="000464BB" w:rsidRDefault="00FD1C26" w:rsidP="00092E2C">
      <w:pPr>
        <w:pStyle w:val="1"/>
        <w:ind w:firstLine="700"/>
        <w:rPr>
          <w:lang w:eastAsia="zh-CN"/>
        </w:rPr>
      </w:pPr>
      <w:r>
        <w:rPr>
          <w:w w:val="110"/>
          <w:lang w:eastAsia="zh-CN"/>
        </w:rPr>
        <w:t>二、煤炭中长期合同的覆盖范围</w:t>
      </w:r>
    </w:p>
    <w:p w14:paraId="24ED2E19" w14:textId="0EBE4F50" w:rsidR="000464BB" w:rsidRPr="00A50CF5" w:rsidRDefault="00FD1C26" w:rsidP="00092E2C">
      <w:pPr>
        <w:ind w:firstLine="640"/>
        <w:rPr>
          <w:lang w:eastAsia="zh-CN"/>
        </w:rPr>
      </w:pPr>
      <w:r w:rsidRPr="00A50CF5">
        <w:rPr>
          <w:lang w:eastAsia="zh-CN"/>
        </w:rPr>
        <w:t>煤炭中长期合同的供应方原则上覆盖所有核定产能</w:t>
      </w:r>
      <w:r w:rsidRPr="00A50CF5">
        <w:rPr>
          <w:lang w:eastAsia="zh-CN"/>
        </w:rPr>
        <w:t>30</w:t>
      </w:r>
      <w:r w:rsidRPr="00A50CF5">
        <w:rPr>
          <w:lang w:eastAsia="zh-CN"/>
        </w:rPr>
        <w:t>万吨／年及以上的煤炭生产企业；需求方主要是发电、供热用煤企业，支持冶金、建材、化工等其他行业用户签订煤炭中长期合同。鼓励化肥</w:t>
      </w:r>
      <w:r w:rsidRPr="00A50CF5">
        <w:rPr>
          <w:lang w:eastAsia="zh-CN"/>
        </w:rPr>
        <w:lastRenderedPageBreak/>
        <w:t>生产等重点领域企业参与合同答订。</w:t>
      </w:r>
    </w:p>
    <w:p w14:paraId="24ED2E1B" w14:textId="00447959" w:rsidR="000464BB" w:rsidRPr="00092E2C" w:rsidRDefault="00FD1C26" w:rsidP="00092E2C">
      <w:pPr>
        <w:pStyle w:val="1"/>
        <w:ind w:firstLine="700"/>
        <w:rPr>
          <w:lang w:eastAsia="zh-CN"/>
        </w:rPr>
      </w:pPr>
      <w:r>
        <w:rPr>
          <w:w w:val="110"/>
          <w:lang w:eastAsia="zh-CN"/>
        </w:rPr>
        <w:t>三、煤炭中长期合同的期限要求</w:t>
      </w:r>
    </w:p>
    <w:p w14:paraId="24ED2E1C" w14:textId="77777777" w:rsidR="000464BB" w:rsidRPr="00092E2C" w:rsidRDefault="00FD1C26" w:rsidP="00092E2C">
      <w:pPr>
        <w:ind w:firstLine="640"/>
        <w:rPr>
          <w:lang w:eastAsia="zh-CN"/>
        </w:rPr>
      </w:pPr>
      <w:r w:rsidRPr="00092E2C">
        <w:rPr>
          <w:lang w:eastAsia="zh-CN"/>
        </w:rPr>
        <w:t>煤炭中长期合同原则上为一年及以上合同，鼓励按照价格</w:t>
      </w:r>
      <w:r>
        <w:rPr>
          <w:color w:val="6E6E6E"/>
          <w:w w:val="115"/>
          <w:lang w:eastAsia="zh-CN"/>
        </w:rPr>
        <w:t>机</w:t>
      </w:r>
      <w:r w:rsidRPr="00092E2C">
        <w:rPr>
          <w:lang w:eastAsia="zh-CN"/>
        </w:rPr>
        <w:t>制签订</w:t>
      </w:r>
      <w:r w:rsidRPr="00092E2C">
        <w:rPr>
          <w:lang w:eastAsia="zh-CN"/>
        </w:rPr>
        <w:t>3</w:t>
      </w:r>
      <w:r w:rsidRPr="00092E2C">
        <w:rPr>
          <w:lang w:eastAsia="zh-CN"/>
        </w:rPr>
        <w:t>年及以上长期合同，</w:t>
      </w:r>
      <w:r w:rsidRPr="00092E2C">
        <w:rPr>
          <w:lang w:eastAsia="zh-CN"/>
        </w:rPr>
        <w:t>3</w:t>
      </w:r>
      <w:r w:rsidRPr="00092E2C">
        <w:rPr>
          <w:lang w:eastAsia="zh-CN"/>
        </w:rPr>
        <w:t>年及以上长期合同量不少于各企业签订合同量的</w:t>
      </w:r>
      <w:r w:rsidRPr="00092E2C">
        <w:rPr>
          <w:lang w:eastAsia="zh-CN"/>
        </w:rPr>
        <w:t>50%</w:t>
      </w:r>
      <w:r w:rsidRPr="00092E2C">
        <w:rPr>
          <w:lang w:eastAsia="zh-CN"/>
        </w:rPr>
        <w:t>。探索地方供暖企业、地方政府认定的农村居民采暖用煤经营单位签订季节性合同。</w:t>
      </w:r>
    </w:p>
    <w:p w14:paraId="24ED2E1E" w14:textId="2C8477EB" w:rsidR="000464BB" w:rsidRPr="00092E2C" w:rsidRDefault="00FD1C26" w:rsidP="00092E2C">
      <w:pPr>
        <w:pStyle w:val="1"/>
        <w:ind w:firstLine="700"/>
        <w:rPr>
          <w:lang w:eastAsia="zh-CN"/>
        </w:rPr>
      </w:pPr>
      <w:r>
        <w:rPr>
          <w:w w:val="110"/>
          <w:lang w:eastAsia="zh-CN"/>
        </w:rPr>
        <w:t>四、煤炭中长期合同的签订数量要求</w:t>
      </w:r>
    </w:p>
    <w:p w14:paraId="24ED2E1F" w14:textId="77777777" w:rsidR="000464BB" w:rsidRDefault="00FD1C26" w:rsidP="00092E2C">
      <w:pPr>
        <w:ind w:firstLine="640"/>
        <w:rPr>
          <w:lang w:eastAsia="zh-CN"/>
        </w:rPr>
      </w:pPr>
      <w:r w:rsidRPr="00092E2C">
        <w:rPr>
          <w:lang w:eastAsia="zh-CN"/>
        </w:rPr>
        <w:t>煤炭企业签订的中长期合同数量应达到自有资源量的</w:t>
      </w:r>
      <w:r w:rsidRPr="00092E2C">
        <w:rPr>
          <w:lang w:eastAsia="zh-CN"/>
        </w:rPr>
        <w:t>80</w:t>
      </w:r>
      <w:r w:rsidRPr="00092E2C">
        <w:rPr>
          <w:lang w:eastAsia="zh-CN"/>
        </w:rPr>
        <w:t>％以上，优先衔接保障发电供热企业。</w:t>
      </w:r>
      <w:r w:rsidRPr="00092E2C">
        <w:rPr>
          <w:lang w:eastAsia="zh-CN"/>
        </w:rPr>
        <w:t>2021</w:t>
      </w:r>
      <w:r w:rsidRPr="00092E2C">
        <w:rPr>
          <w:lang w:eastAsia="zh-CN"/>
        </w:rPr>
        <w:t>年</w:t>
      </w:r>
      <w:r w:rsidRPr="00092E2C">
        <w:rPr>
          <w:lang w:eastAsia="zh-CN"/>
        </w:rPr>
        <w:t>9</w:t>
      </w:r>
      <w:r w:rsidRPr="00092E2C">
        <w:rPr>
          <w:lang w:eastAsia="zh-CN"/>
        </w:rPr>
        <w:t>月份以来核增产能的保供煤矿核增部分按承诺要求全部签订电煤中长期合同。</w:t>
      </w:r>
    </w:p>
    <w:p w14:paraId="24ED2E20" w14:textId="445B8250" w:rsidR="000464BB" w:rsidRPr="00A50CF5" w:rsidRDefault="00FD1C26" w:rsidP="00092E2C">
      <w:pPr>
        <w:ind w:firstLine="640"/>
        <w:rPr>
          <w:lang w:eastAsia="zh-CN"/>
        </w:rPr>
      </w:pPr>
      <w:r w:rsidRPr="00092E2C">
        <w:rPr>
          <w:lang w:eastAsia="zh-CN"/>
        </w:rPr>
        <w:t>发电供热企业年度用煤扣除进口煤后应实现中长期供需合同全覆盖</w:t>
      </w:r>
      <w:r w:rsidR="00092E2C">
        <w:rPr>
          <w:rFonts w:hint="eastAsia"/>
          <w:lang w:eastAsia="zh-CN"/>
        </w:rPr>
        <w:t>。</w:t>
      </w:r>
      <w:r w:rsidRPr="00092E2C">
        <w:rPr>
          <w:lang w:eastAsia="zh-CN"/>
        </w:rPr>
        <w:t>当年用煤量可准确预测的，按预</w:t>
      </w:r>
      <w:r w:rsidRPr="00A50CF5">
        <w:rPr>
          <w:lang w:eastAsia="zh-CN"/>
        </w:rPr>
        <w:t>测用量扣除进口煤计划后全部签订合同；不能准确预测的，应结合上一年度实际使用国内煤炭量和新投运机组等合理增长因素签订合同。地方供暖企业、地方政府认定的农村居民采暖用煤经营单位按实际需求签订合同</w:t>
      </w:r>
      <w:r w:rsidR="00A50CF5" w:rsidRPr="00092E2C">
        <w:rPr>
          <w:lang w:eastAsia="zh-CN"/>
        </w:rPr>
        <w:t>。</w:t>
      </w:r>
      <w:r w:rsidRPr="00A50CF5">
        <w:rPr>
          <w:lang w:eastAsia="zh-CN"/>
        </w:rPr>
        <w:t>经铁路运输的发电供热用煤合同单笔不少于</w:t>
      </w:r>
      <w:r w:rsidRPr="00A50CF5">
        <w:rPr>
          <w:lang w:eastAsia="zh-CN"/>
        </w:rPr>
        <w:t>20</w:t>
      </w:r>
      <w:r w:rsidRPr="00A50CF5">
        <w:rPr>
          <w:lang w:eastAsia="zh-CN"/>
        </w:rPr>
        <w:t>万吨，冶金、建材、化工等其他行业用煤合同单笔不少于</w:t>
      </w:r>
      <w:r w:rsidRPr="00A50CF5">
        <w:rPr>
          <w:lang w:eastAsia="zh-CN"/>
        </w:rPr>
        <w:t>10</w:t>
      </w:r>
      <w:r w:rsidRPr="00A50CF5">
        <w:rPr>
          <w:lang w:eastAsia="zh-CN"/>
        </w:rPr>
        <w:t>万吨。</w:t>
      </w:r>
    </w:p>
    <w:p w14:paraId="24ED2E22" w14:textId="26337CF9" w:rsidR="000464BB" w:rsidRPr="00092E2C" w:rsidRDefault="00FD1C26" w:rsidP="00092E2C">
      <w:pPr>
        <w:pStyle w:val="1"/>
        <w:ind w:firstLine="700"/>
        <w:rPr>
          <w:lang w:eastAsia="zh-CN"/>
        </w:rPr>
      </w:pPr>
      <w:r>
        <w:rPr>
          <w:w w:val="110"/>
          <w:lang w:eastAsia="zh-CN"/>
        </w:rPr>
        <w:t>五、煤炭中长期合同的价格机制</w:t>
      </w:r>
    </w:p>
    <w:p w14:paraId="24ED2E27" w14:textId="1E917563" w:rsidR="000464BB" w:rsidRPr="00092E2C" w:rsidRDefault="00FD1C26" w:rsidP="00092E2C">
      <w:pPr>
        <w:ind w:firstLine="640"/>
        <w:rPr>
          <w:lang w:eastAsia="zh-CN"/>
        </w:rPr>
      </w:pPr>
      <w:r w:rsidRPr="00092E2C">
        <w:rPr>
          <w:lang w:eastAsia="zh-CN"/>
        </w:rPr>
        <w:t>煤炭中长期合同执行</w:t>
      </w:r>
      <w:r w:rsidRPr="00092E2C">
        <w:rPr>
          <w:lang w:eastAsia="zh-CN"/>
        </w:rPr>
        <w:t>“</w:t>
      </w:r>
      <w:r w:rsidRPr="00092E2C">
        <w:rPr>
          <w:lang w:eastAsia="zh-CN"/>
        </w:rPr>
        <w:t>基准价＋浮动价</w:t>
      </w:r>
      <w:r w:rsidR="00092E2C">
        <w:rPr>
          <w:rFonts w:hint="eastAsia"/>
          <w:lang w:eastAsia="zh-CN"/>
        </w:rPr>
        <w:t>”</w:t>
      </w:r>
      <w:r w:rsidRPr="00092E2C">
        <w:rPr>
          <w:lang w:eastAsia="zh-CN"/>
        </w:rPr>
        <w:t>价格机制，实行月度定价。基准价、浮动价暂按全国煤炭交易会上公布的征求意见稿实施，待国家有关政策明确后再按规定进行调整。</w:t>
      </w:r>
    </w:p>
    <w:p w14:paraId="24ED2E29" w14:textId="175FF20E" w:rsidR="000464BB" w:rsidRPr="00092E2C" w:rsidRDefault="00FD1C26" w:rsidP="00092E2C">
      <w:pPr>
        <w:pStyle w:val="1"/>
        <w:ind w:firstLine="700"/>
        <w:rPr>
          <w:lang w:eastAsia="zh-CN"/>
        </w:rPr>
      </w:pPr>
      <w:r>
        <w:rPr>
          <w:w w:val="110"/>
          <w:lang w:eastAsia="zh-CN"/>
        </w:rPr>
        <w:t>六、煤炭中长期合同的运力配置</w:t>
      </w:r>
    </w:p>
    <w:p w14:paraId="24ED2E2A" w14:textId="77777777" w:rsidR="000464BB" w:rsidRDefault="00FD1C26" w:rsidP="00092E2C">
      <w:pPr>
        <w:ind w:firstLine="640"/>
        <w:rPr>
          <w:lang w:eastAsia="zh-CN"/>
        </w:rPr>
      </w:pPr>
      <w:r w:rsidRPr="00092E2C">
        <w:rPr>
          <w:lang w:eastAsia="zh-CN"/>
        </w:rPr>
        <w:t>煤炭中长期合同中应当明确运输方式、运输企业和运输计划等，</w:t>
      </w:r>
      <w:r w:rsidRPr="00092E2C">
        <w:rPr>
          <w:lang w:eastAsia="zh-CN"/>
        </w:rPr>
        <w:lastRenderedPageBreak/>
        <w:t>供需双方应提前与运输企业协商一致。对需要通过铁路运输的，供需双方应提前与铁路运输企业协商运输计划，申请铁路运力的合同量不能超过供应企业装车能力和需求企业的卸车存煤能力。铁路运输企业应优先为数量明确、计划明晰的电煤中长期合同，特别是往年兑现率高的供需企业配置铁路运力。对需要通过公路、水路等其他方式运输的，鼓励供需双方提前确定运输企业并签订年度煤炭运输合同。</w:t>
      </w:r>
    </w:p>
    <w:p w14:paraId="24ED2E2C" w14:textId="174317F3" w:rsidR="000464BB" w:rsidRPr="00092E2C" w:rsidRDefault="00FD1C26" w:rsidP="00092E2C">
      <w:pPr>
        <w:pStyle w:val="1"/>
        <w:ind w:firstLine="700"/>
        <w:rPr>
          <w:lang w:eastAsia="zh-CN"/>
        </w:rPr>
      </w:pPr>
      <w:r>
        <w:rPr>
          <w:w w:val="110"/>
          <w:lang w:eastAsia="zh-CN"/>
        </w:rPr>
        <w:t>七、煤炭中长期合同的签订工作要求</w:t>
      </w:r>
    </w:p>
    <w:p w14:paraId="24ED2E2D" w14:textId="666E3E01" w:rsidR="000464BB" w:rsidRPr="00092E2C" w:rsidRDefault="00FD1C26" w:rsidP="00092E2C">
      <w:pPr>
        <w:ind w:firstLine="640"/>
        <w:rPr>
          <w:lang w:eastAsia="zh-CN"/>
        </w:rPr>
      </w:pPr>
      <w:r w:rsidRPr="00092E2C">
        <w:rPr>
          <w:lang w:eastAsia="zh-CN"/>
        </w:rPr>
        <w:t>煤炭供需双方要使用《煤炭购销中长期合同示范文本》，明确合同数量、质量、期限、流向、价格机制、运输方式、违约责任和争议解决方式等要素，不得脱离生产经营实际签订虚假合同，不得出现任何捆绑签订情况。</w:t>
      </w:r>
      <w:r w:rsidR="00BF1F63">
        <w:rPr>
          <w:rFonts w:hint="eastAsia"/>
          <w:lang w:eastAsia="zh-CN"/>
        </w:rPr>
        <w:t>合同预付款比例由供需双方</w:t>
      </w:r>
      <w:r w:rsidR="006D4B81">
        <w:rPr>
          <w:rFonts w:hint="eastAsia"/>
          <w:lang w:eastAsia="zh-CN"/>
        </w:rPr>
        <w:t>公平协商确定。</w:t>
      </w:r>
      <w:r w:rsidRPr="00092E2C">
        <w:rPr>
          <w:lang w:eastAsia="zh-CN"/>
        </w:rPr>
        <w:t>签订合同</w:t>
      </w:r>
      <w:r w:rsidR="008647E6">
        <w:rPr>
          <w:rFonts w:hint="eastAsia"/>
          <w:lang w:eastAsia="zh-CN"/>
        </w:rPr>
        <w:t>要</w:t>
      </w:r>
      <w:r w:rsidRPr="00092E2C">
        <w:rPr>
          <w:lang w:eastAsia="zh-CN"/>
        </w:rPr>
        <w:t>在全</w:t>
      </w:r>
      <w:r w:rsidR="00292450">
        <w:rPr>
          <w:rFonts w:hint="eastAsia"/>
          <w:lang w:eastAsia="zh-CN"/>
        </w:rPr>
        <w:t>国</w:t>
      </w:r>
      <w:r w:rsidRPr="00092E2C">
        <w:rPr>
          <w:lang w:eastAsia="zh-CN"/>
        </w:rPr>
        <w:t>煤炭交易中心交易平台</w:t>
      </w:r>
      <w:r w:rsidR="008647E6">
        <w:rPr>
          <w:rFonts w:hint="eastAsia"/>
          <w:lang w:eastAsia="zh-CN"/>
        </w:rPr>
        <w:t>（</w:t>
      </w:r>
      <w:hyperlink r:id="rId6" w:history="1">
        <w:r w:rsidR="008647E6" w:rsidRPr="00304C81">
          <w:rPr>
            <w:rStyle w:val="ab"/>
            <w:lang w:eastAsia="zh-CN"/>
          </w:rPr>
          <w:t>www</w:t>
        </w:r>
        <w:r w:rsidR="008647E6" w:rsidRPr="00304C81">
          <w:rPr>
            <w:rStyle w:val="ab"/>
            <w:rFonts w:hint="eastAsia"/>
            <w:lang w:eastAsia="zh-CN"/>
          </w:rPr>
          <w:t>.</w:t>
        </w:r>
        <w:r w:rsidR="008647E6" w:rsidRPr="00304C81">
          <w:rPr>
            <w:rStyle w:val="ab"/>
            <w:lang w:eastAsia="zh-CN"/>
          </w:rPr>
          <w:t>ncexc.cn</w:t>
        </w:r>
      </w:hyperlink>
      <w:r w:rsidR="008647E6">
        <w:rPr>
          <w:rFonts w:hint="eastAsia"/>
          <w:lang w:eastAsia="zh-CN"/>
        </w:rPr>
        <w:t>）</w:t>
      </w:r>
      <w:r w:rsidR="006D4B81">
        <w:rPr>
          <w:rFonts w:hint="eastAsia"/>
          <w:lang w:eastAsia="zh-CN"/>
        </w:rPr>
        <w:t>进行线上录入</w:t>
      </w:r>
      <w:r w:rsidRPr="00092E2C">
        <w:rPr>
          <w:lang w:eastAsia="zh-CN"/>
        </w:rPr>
        <w:t>确认并在线签订诚信履约承诺</w:t>
      </w:r>
      <w:r w:rsidR="008647E6" w:rsidRPr="00092E2C">
        <w:rPr>
          <w:rFonts w:hint="eastAsia"/>
          <w:lang w:eastAsia="zh-CN"/>
        </w:rPr>
        <w:t>，</w:t>
      </w:r>
      <w:r w:rsidRPr="00092E2C">
        <w:rPr>
          <w:lang w:eastAsia="zh-CN"/>
        </w:rPr>
        <w:t>录入合同要确保真实有效，鼓励在线执行中长期合同。</w:t>
      </w:r>
    </w:p>
    <w:p w14:paraId="24ED2E32" w14:textId="4D5114C8" w:rsidR="000464BB" w:rsidRDefault="00FD1C26" w:rsidP="00092E2C">
      <w:pPr>
        <w:ind w:firstLine="640"/>
        <w:rPr>
          <w:lang w:eastAsia="zh-CN"/>
        </w:rPr>
      </w:pPr>
      <w:r w:rsidRPr="00092E2C">
        <w:rPr>
          <w:lang w:eastAsia="zh-CN"/>
        </w:rPr>
        <w:t>各地经济运行部门要加强对煤炭中长期合同签订工作的统筹组织，指导供需双方抓紧衔接，力争在</w:t>
      </w:r>
      <w:r w:rsidRPr="00092E2C">
        <w:rPr>
          <w:lang w:eastAsia="zh-CN"/>
        </w:rPr>
        <w:t>2021</w:t>
      </w:r>
      <w:r w:rsidRPr="00092E2C">
        <w:rPr>
          <w:lang w:eastAsia="zh-CN"/>
        </w:rPr>
        <w:t>年</w:t>
      </w:r>
      <w:r w:rsidRPr="00092E2C">
        <w:rPr>
          <w:lang w:eastAsia="zh-CN"/>
        </w:rPr>
        <w:t>12</w:t>
      </w:r>
      <w:r w:rsidRPr="00092E2C">
        <w:rPr>
          <w:lang w:eastAsia="zh-CN"/>
        </w:rPr>
        <w:t>月</w:t>
      </w:r>
      <w:r w:rsidRPr="00092E2C">
        <w:rPr>
          <w:lang w:eastAsia="zh-CN"/>
        </w:rPr>
        <w:t>20</w:t>
      </w:r>
      <w:r w:rsidRPr="00092E2C">
        <w:rPr>
          <w:lang w:eastAsia="zh-CN"/>
        </w:rPr>
        <w:t>日前完成合同签订工作；要确保本区域内核定产能</w:t>
      </w:r>
      <w:r w:rsidRPr="00092E2C">
        <w:rPr>
          <w:lang w:eastAsia="zh-CN"/>
        </w:rPr>
        <w:t>30</w:t>
      </w:r>
      <w:r w:rsidRPr="00092E2C">
        <w:rPr>
          <w:lang w:eastAsia="zh-CN"/>
        </w:rPr>
        <w:t>万吨／年煤炭企业签订</w:t>
      </w:r>
      <w:r w:rsidRPr="00092E2C">
        <w:rPr>
          <w:lang w:eastAsia="zh-CN"/>
        </w:rPr>
        <w:t xml:space="preserve"> </w:t>
      </w:r>
      <w:r w:rsidRPr="00092E2C">
        <w:rPr>
          <w:lang w:eastAsia="zh-CN"/>
        </w:rPr>
        <w:t>合同数量达到自有资源量的</w:t>
      </w:r>
      <w:r w:rsidRPr="00092E2C">
        <w:rPr>
          <w:lang w:eastAsia="zh-CN"/>
        </w:rPr>
        <w:t>80</w:t>
      </w:r>
      <w:r w:rsidRPr="00092E2C">
        <w:rPr>
          <w:lang w:eastAsia="zh-CN"/>
        </w:rPr>
        <w:t>％以上，发电供热企业实现供需合同全覆盖。国家发改委将定期通报各地合同签订进展情况，对未达到签订要求的地区经济运行部门进行约谈。</w:t>
      </w:r>
    </w:p>
    <w:p w14:paraId="24ED2E33" w14:textId="02C34770" w:rsidR="000464BB" w:rsidRPr="00092E2C" w:rsidRDefault="00FD1C26" w:rsidP="00092E2C">
      <w:pPr>
        <w:ind w:firstLine="640"/>
        <w:rPr>
          <w:lang w:eastAsia="zh-CN"/>
        </w:rPr>
      </w:pPr>
      <w:r w:rsidRPr="00092E2C">
        <w:rPr>
          <w:lang w:eastAsia="zh-CN"/>
        </w:rPr>
        <w:t>中国煤炭工业协会、全国煤炭交易中心要加强对煤炭中长期合同签订工作的组织推动</w:t>
      </w:r>
      <w:r w:rsidR="00E01450">
        <w:rPr>
          <w:rFonts w:hint="eastAsia"/>
          <w:lang w:eastAsia="zh-CN"/>
        </w:rPr>
        <w:t>。</w:t>
      </w:r>
      <w:r w:rsidRPr="00092E2C">
        <w:rPr>
          <w:lang w:eastAsia="zh-CN"/>
        </w:rPr>
        <w:t>全国煤炭交易中心要做好合同汇总工作</w:t>
      </w:r>
      <w:r w:rsidR="00E01450">
        <w:rPr>
          <w:lang w:eastAsia="zh-CN"/>
        </w:rPr>
        <w:t>,</w:t>
      </w:r>
      <w:r w:rsidRPr="00092E2C">
        <w:rPr>
          <w:lang w:eastAsia="zh-CN"/>
        </w:rPr>
        <w:lastRenderedPageBreak/>
        <w:t>在</w:t>
      </w:r>
      <w:r w:rsidRPr="00092E2C">
        <w:rPr>
          <w:lang w:eastAsia="zh-CN"/>
        </w:rPr>
        <w:t>12</w:t>
      </w:r>
      <w:r w:rsidRPr="00092E2C">
        <w:rPr>
          <w:lang w:eastAsia="zh-CN"/>
        </w:rPr>
        <w:t>月</w:t>
      </w:r>
      <w:r w:rsidRPr="00092E2C">
        <w:rPr>
          <w:lang w:eastAsia="zh-CN"/>
        </w:rPr>
        <w:t>22</w:t>
      </w:r>
      <w:r w:rsidRPr="00092E2C">
        <w:rPr>
          <w:lang w:eastAsia="zh-CN"/>
        </w:rPr>
        <w:t>日前完成汇总并及时送国家铁路集团衔接运力。国家铁路集团要加强运力统筹</w:t>
      </w:r>
      <w:r w:rsidR="00E01450" w:rsidRPr="00092E2C">
        <w:rPr>
          <w:lang w:eastAsia="zh-CN"/>
        </w:rPr>
        <w:t>，</w:t>
      </w:r>
      <w:r w:rsidRPr="00092E2C">
        <w:rPr>
          <w:lang w:eastAsia="zh-CN"/>
        </w:rPr>
        <w:t>在</w:t>
      </w:r>
      <w:r w:rsidRPr="00092E2C">
        <w:rPr>
          <w:lang w:eastAsia="zh-CN"/>
        </w:rPr>
        <w:t>12</w:t>
      </w:r>
      <w:r w:rsidRPr="00092E2C">
        <w:rPr>
          <w:lang w:eastAsia="zh-CN"/>
        </w:rPr>
        <w:t>月</w:t>
      </w:r>
      <w:r w:rsidRPr="00092E2C">
        <w:rPr>
          <w:lang w:eastAsia="zh-CN"/>
        </w:rPr>
        <w:t>30</w:t>
      </w:r>
      <w:r w:rsidRPr="00092E2C">
        <w:rPr>
          <w:lang w:eastAsia="zh-CN"/>
        </w:rPr>
        <w:t>日前完成产运需三方合同签订工作。对未在规定期限内完成签订的合同，原则上不再保留铁路运力。</w:t>
      </w:r>
    </w:p>
    <w:p w14:paraId="24ED2E34" w14:textId="542A397A" w:rsidR="000464BB" w:rsidRDefault="00FD1C26" w:rsidP="00092E2C">
      <w:pPr>
        <w:ind w:firstLine="640"/>
        <w:rPr>
          <w:lang w:eastAsia="zh-CN"/>
        </w:rPr>
      </w:pPr>
      <w:r w:rsidRPr="00CE417E">
        <w:rPr>
          <w:lang w:eastAsia="zh-CN"/>
        </w:rPr>
        <w:t>经地方经济运行部门确认因特殊原因未能在</w:t>
      </w:r>
      <w:r w:rsidRPr="00CE417E">
        <w:rPr>
          <w:lang w:eastAsia="zh-CN"/>
        </w:rPr>
        <w:t>12</w:t>
      </w:r>
      <w:r w:rsidRPr="00CE417E">
        <w:rPr>
          <w:lang w:eastAsia="zh-CN"/>
        </w:rPr>
        <w:t>月底前完成合同签订的，明年</w:t>
      </w:r>
      <w:r w:rsidRPr="00CE417E">
        <w:rPr>
          <w:lang w:eastAsia="zh-CN"/>
        </w:rPr>
        <w:t>1</w:t>
      </w:r>
      <w:r w:rsidRPr="00CE417E">
        <w:rPr>
          <w:lang w:eastAsia="zh-CN"/>
        </w:rPr>
        <w:t>月份合同在执行</w:t>
      </w:r>
      <w:r w:rsidRPr="00CE417E">
        <w:rPr>
          <w:lang w:eastAsia="zh-CN"/>
        </w:rPr>
        <w:t>2022</w:t>
      </w:r>
      <w:r w:rsidRPr="00CE417E">
        <w:rPr>
          <w:lang w:eastAsia="zh-CN"/>
        </w:rPr>
        <w:t>年价格机制基础上，比照</w:t>
      </w:r>
      <w:r w:rsidRPr="00CE417E">
        <w:rPr>
          <w:lang w:eastAsia="zh-CN"/>
        </w:rPr>
        <w:t>2021</w:t>
      </w:r>
      <w:r w:rsidRPr="00CE417E">
        <w:rPr>
          <w:lang w:eastAsia="zh-CN"/>
        </w:rPr>
        <w:t>年年度合同继续执行，不得影响正常发电供热和居民生活用煤需求，同时确保在</w:t>
      </w:r>
      <w:r w:rsidRPr="00CE417E">
        <w:rPr>
          <w:lang w:eastAsia="zh-CN"/>
        </w:rPr>
        <w:t>1</w:t>
      </w:r>
      <w:r w:rsidRPr="00CE417E">
        <w:rPr>
          <w:lang w:eastAsia="zh-CN"/>
        </w:rPr>
        <w:t>月底前完成</w:t>
      </w:r>
      <w:r w:rsidRPr="00CE417E">
        <w:rPr>
          <w:lang w:eastAsia="zh-CN"/>
        </w:rPr>
        <w:t>2022</w:t>
      </w:r>
      <w:r w:rsidRPr="00CE417E">
        <w:rPr>
          <w:lang w:eastAsia="zh-CN"/>
        </w:rPr>
        <w:t>年合同签订。</w:t>
      </w:r>
    </w:p>
    <w:p w14:paraId="24ED2E35" w14:textId="77777777" w:rsidR="000464BB" w:rsidRDefault="00FD1C26" w:rsidP="00092E2C">
      <w:pPr>
        <w:pStyle w:val="1"/>
        <w:ind w:firstLine="670"/>
        <w:rPr>
          <w:lang w:eastAsia="zh-CN"/>
        </w:rPr>
      </w:pPr>
      <w:r>
        <w:rPr>
          <w:w w:val="105"/>
          <w:lang w:eastAsia="zh-CN"/>
        </w:rPr>
        <w:t>八、煤炭中长期合同的履约监管要求</w:t>
      </w:r>
    </w:p>
    <w:p w14:paraId="73EFA3B8" w14:textId="3A9710E0" w:rsidR="000B3C1F" w:rsidRDefault="00FD1C26" w:rsidP="00966EAD">
      <w:pPr>
        <w:ind w:firstLine="640"/>
        <w:rPr>
          <w:color w:val="939393"/>
          <w:w w:val="105"/>
          <w:lang w:eastAsia="zh-CN"/>
        </w:rPr>
      </w:pPr>
      <w:r w:rsidRPr="004E335B">
        <w:rPr>
          <w:lang w:eastAsia="zh-CN"/>
        </w:rPr>
        <w:t>产运需各方要综合考虑需求季节性波动、煤炭生产和铁路运</w:t>
      </w:r>
      <w:r w:rsidRPr="004E335B">
        <w:rPr>
          <w:lang w:eastAsia="zh-CN"/>
        </w:rPr>
        <w:t xml:space="preserve"> </w:t>
      </w:r>
      <w:r w:rsidRPr="004E335B">
        <w:rPr>
          <w:lang w:eastAsia="zh-CN"/>
        </w:rPr>
        <w:t>力相对均衡的特点，协商一</w:t>
      </w:r>
      <w:r w:rsidRPr="00DB7E02">
        <w:rPr>
          <w:lang w:eastAsia="zh-CN"/>
        </w:rPr>
        <w:t>致将年度中长期合同细化分解到月，并将各月合同量明确体现在合同文本中，没有明确的视为月度均衡兑现。单笔合同月度履约率应不低于</w:t>
      </w:r>
      <w:r w:rsidRPr="00DB7E02">
        <w:rPr>
          <w:lang w:eastAsia="zh-CN"/>
        </w:rPr>
        <w:t>80%</w:t>
      </w:r>
      <w:r w:rsidRPr="00DB7E02">
        <w:rPr>
          <w:lang w:eastAsia="zh-CN"/>
        </w:rPr>
        <w:t>，季度和年度履约率不低于</w:t>
      </w:r>
      <w:r w:rsidRPr="00DB7E02">
        <w:rPr>
          <w:lang w:eastAsia="zh-CN"/>
        </w:rPr>
        <w:t>90%</w:t>
      </w:r>
      <w:r w:rsidRPr="00DB7E02">
        <w:rPr>
          <w:lang w:eastAsia="zh-CN"/>
        </w:rPr>
        <w:t>。经铁路部门确认运力的年度中长期合同，确实难以执行的，经产运需三方同意，可在全国煤炭交易中心平台交易。</w:t>
      </w:r>
    </w:p>
    <w:p w14:paraId="24ED2E3A" w14:textId="3252F1DB" w:rsidR="000464BB" w:rsidRPr="00DB7E02" w:rsidRDefault="00FD1C26" w:rsidP="00DB7E02">
      <w:pPr>
        <w:ind w:firstLine="640"/>
        <w:rPr>
          <w:lang w:eastAsia="zh-CN"/>
        </w:rPr>
      </w:pPr>
      <w:r w:rsidRPr="00DB7E02">
        <w:rPr>
          <w:lang w:eastAsia="zh-CN"/>
        </w:rPr>
        <w:t>2022</w:t>
      </w:r>
      <w:r w:rsidRPr="00DB7E02">
        <w:rPr>
          <w:lang w:eastAsia="zh-CN"/>
        </w:rPr>
        <w:t>年度煤炭中长期合同全部纳入</w:t>
      </w:r>
      <w:r w:rsidRPr="00DB7E02">
        <w:rPr>
          <w:lang w:eastAsia="zh-CN"/>
        </w:rPr>
        <w:t>“</w:t>
      </w:r>
      <w:r w:rsidRPr="00DB7E02">
        <w:rPr>
          <w:lang w:eastAsia="zh-CN"/>
        </w:rPr>
        <w:t>信用中国</w:t>
      </w:r>
      <w:r w:rsidR="00E95CDB">
        <w:rPr>
          <w:rFonts w:hint="eastAsia"/>
          <w:lang w:eastAsia="zh-CN"/>
        </w:rPr>
        <w:t>”</w:t>
      </w:r>
      <w:r w:rsidRPr="00DB7E02">
        <w:rPr>
          <w:lang w:eastAsia="zh-CN"/>
        </w:rPr>
        <w:t>网站的诚信履约保障平台进行监管</w:t>
      </w:r>
      <w:r w:rsidR="00E95CDB">
        <w:rPr>
          <w:rFonts w:hint="eastAsia"/>
          <w:lang w:eastAsia="zh-CN"/>
        </w:rPr>
        <w:t>。</w:t>
      </w:r>
      <w:r w:rsidRPr="00DB7E02">
        <w:rPr>
          <w:lang w:eastAsia="zh-CN"/>
        </w:rPr>
        <w:t>供需企业要在每月</w:t>
      </w:r>
      <w:r w:rsidRPr="00DB7E02">
        <w:rPr>
          <w:lang w:eastAsia="zh-CN"/>
        </w:rPr>
        <w:t>15</w:t>
      </w:r>
      <w:r w:rsidRPr="00DB7E02">
        <w:rPr>
          <w:lang w:eastAsia="zh-CN"/>
        </w:rPr>
        <w:t>日前</w:t>
      </w:r>
      <w:r w:rsidR="00E95CDB">
        <w:rPr>
          <w:rFonts w:hint="eastAsia"/>
          <w:lang w:eastAsia="zh-CN"/>
        </w:rPr>
        <w:t>，</w:t>
      </w:r>
      <w:r w:rsidRPr="00DB7E02">
        <w:rPr>
          <w:lang w:eastAsia="zh-CN"/>
        </w:rPr>
        <w:t>向全国煤炭交易中心交易平台如实在线报送履约数据，未按期报送履约情况且经提示仍不报送的合同，视为未履约。全国煤炭交易中心要定期将合同履约情况共享至</w:t>
      </w:r>
      <w:r w:rsidRPr="00DB7E02">
        <w:rPr>
          <w:lang w:eastAsia="zh-CN"/>
        </w:rPr>
        <w:t>“</w:t>
      </w:r>
      <w:r w:rsidRPr="00DB7E02">
        <w:rPr>
          <w:lang w:eastAsia="zh-CN"/>
        </w:rPr>
        <w:t>信用中国</w:t>
      </w:r>
      <w:r w:rsidRPr="00DB7E02">
        <w:rPr>
          <w:lang w:eastAsia="zh-CN"/>
        </w:rPr>
        <w:t>“</w:t>
      </w:r>
      <w:r w:rsidRPr="00DB7E02">
        <w:rPr>
          <w:lang w:eastAsia="zh-CN"/>
        </w:rPr>
        <w:t>网站的诚信履约保障平台，不断优化履约数据报送系统，做好平台管理和履约数据收集汇总分析工作，未经允许，不得对外公开和泄露合同信息。</w:t>
      </w:r>
    </w:p>
    <w:p w14:paraId="24ED2E3B" w14:textId="19561970" w:rsidR="000464BB" w:rsidRDefault="00FD1C26" w:rsidP="00DB7E02">
      <w:pPr>
        <w:ind w:firstLine="640"/>
        <w:rPr>
          <w:lang w:eastAsia="zh-CN"/>
        </w:rPr>
      </w:pPr>
      <w:r w:rsidRPr="00DB7E02">
        <w:rPr>
          <w:lang w:eastAsia="zh-CN"/>
        </w:rPr>
        <w:t>煤炭中长期合同履约情况实行月度统计、季度通报、半年度考核。国家公共信用信息中心依法依规将合同履约情况记入合同双方</w:t>
      </w:r>
      <w:r w:rsidRPr="00DB7E02">
        <w:rPr>
          <w:lang w:eastAsia="zh-CN"/>
        </w:rPr>
        <w:lastRenderedPageBreak/>
        <w:t>信用记录，并确定企业信用等级。根据信用等级实施分类监管，对信用等级高的企业减少履约检查考核频次，对信用等级低的企业加大监督考核力度。各有关方面要加强煤炭中长期合同履约监管考核。国家发展改革委将会同有关部门，对中央和地方违约企业实施约谈、通报、信用公示和追贵问贵等惩戒措施。中央企业要将煤矿、电厂中长期合同签订率、履约率纳入绩效考核指标。各地经济运行部门要商有关部门制定煤矿、电厂的中长期合同签订率、履约率考核办法，定期开展合同履约情况第三方评估，督促提高履约水平。</w:t>
      </w:r>
    </w:p>
    <w:p w14:paraId="24ED2E3C" w14:textId="77777777" w:rsidR="000464BB" w:rsidRDefault="00FD1C26" w:rsidP="00092E2C">
      <w:pPr>
        <w:pStyle w:val="1"/>
        <w:ind w:firstLine="700"/>
        <w:rPr>
          <w:lang w:eastAsia="zh-CN"/>
        </w:rPr>
      </w:pPr>
      <w:r>
        <w:rPr>
          <w:w w:val="110"/>
          <w:lang w:eastAsia="zh-CN"/>
        </w:rPr>
        <w:t>九、加强煤炭中长期合同签订履约工作的组织领导</w:t>
      </w:r>
    </w:p>
    <w:p w14:paraId="24ED2E41" w14:textId="2DFC5D4F" w:rsidR="000464BB" w:rsidRPr="00DB7E02" w:rsidRDefault="00FD1C26" w:rsidP="00DB7E02">
      <w:pPr>
        <w:ind w:firstLine="640"/>
        <w:rPr>
          <w:lang w:eastAsia="zh-CN"/>
        </w:rPr>
      </w:pPr>
      <w:r w:rsidRPr="00DB7E02">
        <w:rPr>
          <w:lang w:eastAsia="zh-CN"/>
        </w:rPr>
        <w:t>各地经济运行部门要进一步提高思想认识，切实加强组织领导，明确责任单位和责任人，积极组织本地区企业签订煤炭中长</w:t>
      </w:r>
      <w:r w:rsidR="00D32499">
        <w:rPr>
          <w:noProof/>
        </w:rPr>
        <mc:AlternateContent>
          <mc:Choice Requires="wps">
            <w:drawing>
              <wp:anchor distT="0" distB="0" distL="114300" distR="114300" simplePos="0" relativeHeight="251658247" behindDoc="0" locked="0" layoutInCell="1" allowOverlap="1" wp14:anchorId="24ED2E51" wp14:editId="4CFA00C5">
                <wp:simplePos x="0" y="0"/>
                <wp:positionH relativeFrom="page">
                  <wp:posOffset>3656965</wp:posOffset>
                </wp:positionH>
                <wp:positionV relativeFrom="page">
                  <wp:posOffset>9574530</wp:posOffset>
                </wp:positionV>
                <wp:extent cx="178435" cy="102235"/>
                <wp:effectExtent l="0" t="0" r="0" b="0"/>
                <wp:wrapNone/>
                <wp:docPr id="1"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D2E59" w14:textId="77777777" w:rsidR="000464BB" w:rsidRDefault="00FD1C26">
                            <w:pPr>
                              <w:spacing w:line="280" w:lineRule="exact"/>
                              <w:ind w:left="20" w:firstLine="480"/>
                              <w:rPr>
                                <w:sz w:val="24"/>
                              </w:rPr>
                            </w:pPr>
                            <w:r>
                              <w:rPr>
                                <w:color w:val="505050"/>
                                <w:sz w:val="24"/>
                              </w:rPr>
                              <w:t>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D2E51" id="_x0000_t202" coordsize="21600,21600" o:spt="202" path="m,l,21600r21600,l21600,xe">
                <v:stroke joinstyle="miter"/>
                <v:path gradientshapeok="t" o:connecttype="rect"/>
              </v:shapetype>
              <v:shape id="docshape9" o:spid="_x0000_s1026" type="#_x0000_t202" style="position:absolute;left:0;text-align:left;margin-left:287.95pt;margin-top:753.9pt;width:14.05pt;height:8.0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" filled="f" stroked="f">
                <v:textbox style="layout-flow:vertical" inset="0,0,0,0">
                  <w:txbxContent>
                    <w:p w14:paraId="24ED2E59" w14:textId="77777777" w:rsidR="000464BB" w:rsidRDefault="00FD1C26">
                      <w:pPr>
                        <w:spacing w:line="280" w:lineRule="exact"/>
                        <w:ind w:left="20" w:firstLine="480"/>
                        <w:rPr>
                          <w:sz w:val="24"/>
                        </w:rPr>
                      </w:pPr>
                      <w:r>
                        <w:rPr>
                          <w:color w:val="505050"/>
                          <w:sz w:val="24"/>
                        </w:rPr>
                        <w:t>9</w:t>
                      </w:r>
                    </w:p>
                  </w:txbxContent>
                </v:textbox>
                <w10:wrap anchorx="page" anchory="page"/>
              </v:shape>
            </w:pict>
          </mc:Fallback>
        </mc:AlternateContent>
      </w:r>
      <w:r w:rsidRPr="00DB7E02">
        <w:rPr>
          <w:lang w:eastAsia="zh-CN"/>
        </w:rPr>
        <w:t>期合同，加强合同签订履约情况监测分析，结合实际建立考核评价机制，强化合同履约监管，及时协调解决工作中存在的困难和问题。各地经济运行部门要加强省际间协调配合，指导煤炭中长期合同供需企业建立相对稳定的战略合作关系，强化互利互惠互保思维，在市场出现大幅波动时保持供需关系基本稳定，确保煤炭安全可靠供应。</w:t>
      </w:r>
    </w:p>
    <w:sectPr w:rsidR="000464BB" w:rsidRPr="00DB7E02">
      <w:headerReference w:type="even" r:id="rId7"/>
      <w:headerReference w:type="default" r:id="rId8"/>
      <w:footerReference w:type="even" r:id="rId9"/>
      <w:footerReference w:type="default" r:id="rId10"/>
      <w:headerReference w:type="first" r:id="rId11"/>
      <w:footerReference w:type="first" r:id="rId12"/>
      <w:pgSz w:w="11910" w:h="16840"/>
      <w:pgMar w:top="1580" w:right="12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8FAEC" w14:textId="77777777" w:rsidR="00BF275D" w:rsidRDefault="00BF275D" w:rsidP="006447AB">
      <w:pPr>
        <w:ind w:firstLine="640"/>
      </w:pPr>
      <w:r>
        <w:separator/>
      </w:r>
    </w:p>
  </w:endnote>
  <w:endnote w:type="continuationSeparator" w:id="0">
    <w:p w14:paraId="58D351F9" w14:textId="77777777" w:rsidR="00BF275D" w:rsidRDefault="00BF275D" w:rsidP="006447AB">
      <w:pPr>
        <w:ind w:firstLine="640"/>
      </w:pPr>
      <w:r>
        <w:continuationSeparator/>
      </w:r>
    </w:p>
  </w:endnote>
  <w:endnote w:type="continuationNotice" w:id="1">
    <w:p w14:paraId="2053189E" w14:textId="77777777" w:rsidR="00BF275D" w:rsidRDefault="00BF275D">
      <w:pPr>
        <w:spacing w:line="240" w:lineRule="auto"/>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FangSong_GB2312"/>
    <w:panose1 w:val="0201060903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DCFA4" w14:textId="77777777" w:rsidR="00820ADC" w:rsidRDefault="00820ADC">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2381522"/>
      <w:docPartObj>
        <w:docPartGallery w:val="Page Numbers (Bottom of Page)"/>
        <w:docPartUnique/>
      </w:docPartObj>
    </w:sdtPr>
    <w:sdtEndPr/>
    <w:sdtContent>
      <w:p w14:paraId="676878DA" w14:textId="1AD61BB0" w:rsidR="00820ADC" w:rsidRDefault="00820ADC">
        <w:pPr>
          <w:pStyle w:val="a7"/>
          <w:ind w:firstLine="360"/>
          <w:jc w:val="center"/>
        </w:pPr>
        <w:r>
          <w:fldChar w:fldCharType="begin"/>
        </w:r>
        <w:r>
          <w:instrText>PAGE   \* MERGEFORMAT</w:instrText>
        </w:r>
        <w:r>
          <w:fldChar w:fldCharType="separate"/>
        </w:r>
        <w:r>
          <w:rPr>
            <w:lang w:val="zh-CN" w:eastAsia="zh-CN"/>
          </w:rPr>
          <w:t>2</w:t>
        </w:r>
        <w:r>
          <w:fldChar w:fldCharType="end"/>
        </w:r>
      </w:p>
    </w:sdtContent>
  </w:sdt>
  <w:p w14:paraId="73824979" w14:textId="77777777" w:rsidR="00820ADC" w:rsidRDefault="00820ADC">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907AA" w14:textId="77777777" w:rsidR="00820ADC" w:rsidRDefault="00820ADC">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1627D" w14:textId="77777777" w:rsidR="00BF275D" w:rsidRDefault="00BF275D" w:rsidP="006447AB">
      <w:pPr>
        <w:ind w:firstLine="640"/>
      </w:pPr>
      <w:r>
        <w:separator/>
      </w:r>
    </w:p>
  </w:footnote>
  <w:footnote w:type="continuationSeparator" w:id="0">
    <w:p w14:paraId="7BD86851" w14:textId="77777777" w:rsidR="00BF275D" w:rsidRDefault="00BF275D" w:rsidP="006447AB">
      <w:pPr>
        <w:ind w:firstLine="640"/>
      </w:pPr>
      <w:r>
        <w:continuationSeparator/>
      </w:r>
    </w:p>
  </w:footnote>
  <w:footnote w:type="continuationNotice" w:id="1">
    <w:p w14:paraId="48E528C1" w14:textId="77777777" w:rsidR="00BF275D" w:rsidRDefault="00BF275D">
      <w:pPr>
        <w:spacing w:line="240" w:lineRule="auto"/>
        <w:ind w:firstLine="6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E14E8" w14:textId="77777777" w:rsidR="00820ADC" w:rsidRDefault="00820ADC">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AC5D0" w14:textId="77777777" w:rsidR="00820ADC" w:rsidRPr="00820ADC" w:rsidRDefault="00820ADC" w:rsidP="00820ADC">
    <w:pPr>
      <w:ind w:left="6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16CC8" w14:textId="77777777" w:rsidR="00820ADC" w:rsidRDefault="00820ADC">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BB"/>
    <w:rsid w:val="000464BB"/>
    <w:rsid w:val="00092E2C"/>
    <w:rsid w:val="000B3C1F"/>
    <w:rsid w:val="001579B5"/>
    <w:rsid w:val="001846D0"/>
    <w:rsid w:val="00292450"/>
    <w:rsid w:val="002E3652"/>
    <w:rsid w:val="003060D2"/>
    <w:rsid w:val="003129D6"/>
    <w:rsid w:val="004E335B"/>
    <w:rsid w:val="005069A7"/>
    <w:rsid w:val="0052170D"/>
    <w:rsid w:val="005538D2"/>
    <w:rsid w:val="006447AB"/>
    <w:rsid w:val="0068402A"/>
    <w:rsid w:val="006A6765"/>
    <w:rsid w:val="006D4B81"/>
    <w:rsid w:val="00760A43"/>
    <w:rsid w:val="00820ADC"/>
    <w:rsid w:val="008647E6"/>
    <w:rsid w:val="00932F37"/>
    <w:rsid w:val="00966EAD"/>
    <w:rsid w:val="00A50CF5"/>
    <w:rsid w:val="00BB6842"/>
    <w:rsid w:val="00BF1F63"/>
    <w:rsid w:val="00BF275D"/>
    <w:rsid w:val="00CE417E"/>
    <w:rsid w:val="00D32499"/>
    <w:rsid w:val="00DB7E02"/>
    <w:rsid w:val="00E01450"/>
    <w:rsid w:val="00E37CFD"/>
    <w:rsid w:val="00E95CDB"/>
    <w:rsid w:val="00EB2FCC"/>
    <w:rsid w:val="00FD1C26"/>
    <w:rsid w:val="00FF3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D2DDA"/>
  <w15:docId w15:val="{AA4BCE59-B8A4-49D5-9DD2-6A1A48EF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0D2"/>
    <w:pPr>
      <w:spacing w:line="580" w:lineRule="exact"/>
      <w:ind w:firstLineChars="200" w:firstLine="200"/>
      <w:jc w:val="both"/>
    </w:pPr>
    <w:rPr>
      <w:rFonts w:ascii="Times New Roman" w:eastAsia="仿宋_GB2312" w:hAnsi="Times New Roman" w:cs="宋体"/>
      <w:sz w:val="32"/>
    </w:rPr>
  </w:style>
  <w:style w:type="paragraph" w:styleId="1">
    <w:name w:val="heading 1"/>
    <w:basedOn w:val="a"/>
    <w:uiPriority w:val="9"/>
    <w:qFormat/>
    <w:rsid w:val="005069A7"/>
    <w:pPr>
      <w:outlineLvl w:val="0"/>
    </w:pPr>
    <w:rPr>
      <w:rFonts w:eastAsia="黑体"/>
      <w:szCs w:val="3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447A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447AB"/>
    <w:rPr>
      <w:rFonts w:ascii="宋体" w:eastAsia="宋体" w:hAnsi="宋体" w:cs="宋体"/>
      <w:sz w:val="18"/>
      <w:szCs w:val="18"/>
    </w:rPr>
  </w:style>
  <w:style w:type="paragraph" w:styleId="a7">
    <w:name w:val="footer"/>
    <w:basedOn w:val="a"/>
    <w:link w:val="a8"/>
    <w:uiPriority w:val="99"/>
    <w:unhideWhenUsed/>
    <w:rsid w:val="006447AB"/>
    <w:pPr>
      <w:tabs>
        <w:tab w:val="center" w:pos="4153"/>
        <w:tab w:val="right" w:pos="8306"/>
      </w:tabs>
      <w:snapToGrid w:val="0"/>
    </w:pPr>
    <w:rPr>
      <w:sz w:val="18"/>
      <w:szCs w:val="18"/>
    </w:rPr>
  </w:style>
  <w:style w:type="character" w:customStyle="1" w:styleId="a8">
    <w:name w:val="页脚 字符"/>
    <w:basedOn w:val="a0"/>
    <w:link w:val="a7"/>
    <w:uiPriority w:val="99"/>
    <w:rsid w:val="006447AB"/>
    <w:rPr>
      <w:rFonts w:ascii="宋体" w:eastAsia="宋体" w:hAnsi="宋体" w:cs="宋体"/>
      <w:sz w:val="18"/>
      <w:szCs w:val="18"/>
    </w:rPr>
  </w:style>
  <w:style w:type="paragraph" w:styleId="a9">
    <w:name w:val="Title"/>
    <w:basedOn w:val="a"/>
    <w:next w:val="a"/>
    <w:link w:val="aa"/>
    <w:uiPriority w:val="10"/>
    <w:qFormat/>
    <w:rsid w:val="003060D2"/>
    <w:pPr>
      <w:ind w:firstLineChars="0" w:firstLine="0"/>
      <w:jc w:val="center"/>
      <w:outlineLvl w:val="0"/>
    </w:pPr>
    <w:rPr>
      <w:rFonts w:eastAsia="方正小标宋简体" w:cstheme="majorBidi"/>
      <w:bCs/>
      <w:sz w:val="36"/>
      <w:szCs w:val="32"/>
    </w:rPr>
  </w:style>
  <w:style w:type="character" w:customStyle="1" w:styleId="aa">
    <w:name w:val="标题 字符"/>
    <w:basedOn w:val="a0"/>
    <w:link w:val="a9"/>
    <w:uiPriority w:val="10"/>
    <w:rsid w:val="003060D2"/>
    <w:rPr>
      <w:rFonts w:ascii="Times New Roman" w:eastAsia="方正小标宋简体" w:hAnsi="Times New Roman" w:cstheme="majorBidi"/>
      <w:bCs/>
      <w:sz w:val="36"/>
      <w:szCs w:val="32"/>
    </w:rPr>
  </w:style>
  <w:style w:type="character" w:styleId="ab">
    <w:name w:val="Hyperlink"/>
    <w:basedOn w:val="a0"/>
    <w:uiPriority w:val="99"/>
    <w:unhideWhenUsed/>
    <w:rsid w:val="008647E6"/>
    <w:rPr>
      <w:color w:val="0000FF" w:themeColor="hyperlink"/>
      <w:u w:val="single"/>
    </w:rPr>
  </w:style>
  <w:style w:type="character" w:styleId="ac">
    <w:name w:val="Unresolved Mention"/>
    <w:basedOn w:val="a0"/>
    <w:uiPriority w:val="99"/>
    <w:semiHidden/>
    <w:unhideWhenUsed/>
    <w:rsid w:val="008647E6"/>
    <w:rPr>
      <w:color w:val="605E5C"/>
      <w:shd w:val="clear" w:color="auto" w:fill="E1DFDD"/>
    </w:rPr>
  </w:style>
  <w:style w:type="paragraph" w:styleId="ad">
    <w:name w:val="Revision"/>
    <w:hidden/>
    <w:uiPriority w:val="99"/>
    <w:semiHidden/>
    <w:rsid w:val="001579B5"/>
    <w:pPr>
      <w:widowControl/>
      <w:autoSpaceDE/>
      <w:autoSpaceDN/>
    </w:pPr>
    <w:rPr>
      <w:rFonts w:ascii="Times New Roman" w:eastAsia="仿宋_GB2312" w:hAnsi="Times New Roman" w:cs="宋体"/>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exc.c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419</Words>
  <Characters>2392</Characters>
  <Application>Microsoft Office Word</Application>
  <DocSecurity>0</DocSecurity>
  <Lines>19</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Wuyt</dc:creator>
  <cp:lastModifiedBy>信息技术部</cp:lastModifiedBy>
  <cp:revision>2</cp:revision>
  <dcterms:created xsi:type="dcterms:W3CDTF">2021-12-16T00:58:00Z</dcterms:created>
  <dcterms:modified xsi:type="dcterms:W3CDTF">2021-12-16T00:58:00Z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Canon iR C3125</vt:lpwstr>
  </property>
  <property fmtid="{D5CDD505-2E9C-101B-9397-08002B2CF9AE}" pid="4" name="LastSaved">
    <vt:filetime>2021-12-13T00:00:00Z</vt:filetime>
  </property>
</Properties>
</file>